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c74cb2f13654100"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34</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DRUMUL VINULUI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DEZVOLTAREA RURALA</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 Solicitantul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se încadreze în categoria beneficiarilor eligibili:-Autoritati publice locale;-Asociații de Dezvoltare Intercomunitară;-Asociaţii şi fundaţiiDocumente de verificat:-Certificatul de înregistrare fiscală-Încheiere privind înscrierea în registrul asociaţiilor şi fundaţiilor,rămasă definitivă/Certificat de înregistrare în registrul asociaţiilor şifundaţiilor (în cazul asociațiilor înființate conform legislației naționale în vigoare)-Actul de înfiinţare şi statutul asociațiilor înființate conform legislațieinaționale în vigoare-Cererea 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Solicitantul nu trebuie să fie în insolvență sau în incapacitate de plată;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nu trebuie să se afle în stare de insolvență, faliment,dizolvare, lichidare, suspendare temporară a activității, sau în incapacitate de plată la data depunerii cererii de finanțare.Se verifica documentele depuse de solicitant si date oficiale de la ANAF/ONRC/Buletinul Procedurilor de Insolvență-Cererea de Finantare,- Declaraţia F pe proprie răspundere  din cererea de finanțare</w:t>
            </w:r>
          </w:p>
          <w:p>
            <w:pPr>
              <w:spacing w:line="360" w:lineRule="auto"/>
              <w:ind w:left="0" w:right="0" w:firstLine="493"/>
            </w:pPr>
            <w:r>
              <w:rPr>
                <w:rFonts w:ascii="Cambria" w:hAnsi="Cambria"/>
                <w:b w:val="false"/>
                <w:sz w:val="24"/>
              </w:rPr>
              <w:t>Dacă în urma verificării, beneficiarul figurează în Buletinul Procedurilor de Insolvenţă cu dosar pe rol, sau figurează în Registrul situațiilor de insolvență, cererea de finanțare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se angajează să asigure întreținerea/mentenanța investiției pe o perioadă de minim 3 ani (5 ani pentru proiectele careprevad constructii+ montaj), de la finalizarea ultimei cereri de plata;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Hotărârea Consiliului Local (Hotărârile Consiliilor locale în cazul ADI)și/ sau Hotărârea Adunării Generale a ONG/ document echivalent specific fiecărei categorii de solicitantExpertul verifică Hotărârile, cu referire la următoarele puncte(obligatorii):• necesitatea, oportunitatea și potențialul economic al investiţiei;• lucrările vor fi prevăzute în bugetul/ ele local/ e sau proprii pentruperioada de realizare a investiţiei;• angajamentul de a asigura mentenanța investitiei, pe o perioadă deminim 5 ani, de la data ultimei plăți;• caracteristici tehnice ale investiției/investițiilor propuse (lungimi, arii,volume, capacităţi etc.);• nominalizarea şi delegarea reprezentantului legal al solicitantului pentru relaţia cu AFIR în derularea proiectului.• angajamentul că proiectul nu va fi generator de venit sau Hotărârea Adunării Generale pentru implementarea proiectului specific fiecărei categorii de solicitanți cu referire la însuşirea / aprobarea de către ONG a următoarelor (condiții obligatorii):• necesitatea şi oportunitatea investiţiei;• lucrările sunt prevăzute în bugetul solicitantului pentru perioada derealizare a investiţiei;• angajamentul de a suporta cheltuielile de întreţinere şi / sau reparare a investiţiei pe o perioadă de minimum 5 ani de la data efectuării ultimeiplăți;• caracteristici tehnice investiției / investițiilor propuse (lungimi, arii,volume, capacităţi etc.);• nominalizarea reprezentantului legal al solicitantului pentru relaţia cuAFIR în derularea proiectului• angajamentul că proiectul nu va fi generator de venit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 Investiția să se încadreze în tipul de sprijin prevăzut prin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activitatile asumate prin SF/DALI/PT/MJ/CF seincadreaza in una/mai multe dintre activitatile eligibile in cadrulinterventiei prevăzute în ghidul solicitantului/fisa interventiei nr.1 dinSDL.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 Investiția să se realizeze în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Sediul social sau punctul de lucru pentru care se solicită finanțareatrebuie să fie în teritoriul GAL, în una din cele 10 U.A.T-uri componenteale teritoriului GAL.Se verifica:- Certificatul de înregistrare fiscală-Hotărâre a Consiliului Local pentru implementarea proiectului;-Act constitutiv si statut;-Cererea de finanţare.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 Investiția trebuie să fie în corelare cu strategia de dezvoltară locală și/sau județeana aprobată;</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verifica:-Extras relevant din Strategia de Dezvoltare Locală a UAT-Referire la obiective/axele din Strategia județeană de dezvoltare (ex.digitalizare, acces la servicii, etc.);</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Vor fi selectate prioritare proiectele in functie de gradul de acoperire a populatiei deservite prin proiect;</w:t>
            </w:r>
          </w:p>
        </w:tc>
        <w:tc>
          <w:tcPr>
            <w:shd w:val="clear" w:color="auto" w:fill="CCE1DB"/>
            <w:vAlign w:val="center"/>
          </w:tcPr>
          <w:p>
            <w:pPr>
              <w:spacing w:line="360" w:lineRule="auto"/>
              <w:ind w:left="0" w:right="0" w:firstLine="493"/>
            </w:pPr>
            <w:r>
              <w:rPr>
                <w:rFonts w:ascii="Cambria Bold" w:hAnsi="Cambria Bold"/>
                <w:b/>
                <w:color w:val="014935"/>
                <w:sz w:val="24"/>
              </w:rPr>
              <w:t>45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Populație deservita prin proiect ≥ 5.001 locuitori</w:t>
            </w:r>
          </w:p>
        </w:tc>
        <w:tc>
          <w:tcPr>
            <w:vAlign w:val="center"/>
          </w:tcPr>
          <w:p>
            <w:pPr>
              <w:keepNext/>
              <w:jc w:val="center"/>
            </w:pPr>
            <w:r>
              <w:rPr>
                <w:rFonts w:ascii="Cambria" w:hAnsi="Cambria"/>
                <w:b w:val="false"/>
                <w:sz w:val="24"/>
              </w:rPr>
              <w:t>45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informatiile din SF/DALI/PT/MJ/CFSe consideră numărul total de locuitori ai comunei / orașului, tabelului privind numarul total al populației comunei este conform rezultatul final al recensământului populației locuințelor din anul 2021(https://www.recensamantromania.ro/rezultate- rpl-2021/rezultate-definitive/)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Populație deservita prin proiect între 3.001 - 5.000 locuitori</w:t>
            </w:r>
          </w:p>
        </w:tc>
        <w:tc>
          <w:tcPr>
            <w:vAlign w:val="center"/>
          </w:tcPr>
          <w:p>
            <w:pPr>
              <w:keepNext/>
              <w:jc w:val="center"/>
            </w:pPr>
            <w:r>
              <w:rPr>
                <w:rFonts w:ascii="Cambria" w:hAnsi="Cambria"/>
                <w:b w:val="false"/>
                <w:sz w:val="24"/>
              </w:rPr>
              <w:t>35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informatiile din SF/DALI/PT/MJ/CFSe consideră numărul total de locuitori ai comunei / orașului, tabelului privind numarul total al populației comunei este conform rezultatul final al recensământului populației locuințelor din anul 2021(https://www.recensamantromania.ro/rezultate- rpl-2021/rezultate-definitive/)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1.3</w:t>
            </w:r>
          </w:p>
        </w:tc>
        <w:tc>
          <w:tcPr>
            <w:shd w:val="clear" w:color="auto" w:fill="F8ECD2"/>
            <w:vAlign w:val="center"/>
          </w:tcPr>
          <w:p>
            <w:r>
              <w:rPr>
                <w:rFonts w:ascii="Cambria" w:hAnsi="Cambria"/>
                <w:b w:val="false"/>
                <w:color w:val="58400C"/>
                <w:sz w:val="24"/>
              </w:rPr>
              <w:t>Populație deservita prin proiect între 1.001 - 3.000 locuitori</w:t>
            </w:r>
          </w:p>
        </w:tc>
        <w:tc>
          <w:tcPr>
            <w:vAlign w:val="center"/>
          </w:tcPr>
          <w:p>
            <w:pPr>
              <w:keepNext/>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informatiile din SF/DALI/PT/MJ/CFSe consideră numărul total de locuitori ai comunei / orașului, tabelului privind numarul total al populației comunei este conform rezultatul final al recensământului populației locuințelor din anul 2021(https://www.recensamantromania.ro/rezultate- rpl-2021/rezultate-definitive/)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1.4</w:t>
            </w:r>
          </w:p>
        </w:tc>
        <w:tc>
          <w:tcPr>
            <w:shd w:val="clear" w:color="auto" w:fill="F8ECD2"/>
            <w:vAlign w:val="center"/>
          </w:tcPr>
          <w:p>
            <w:r>
              <w:rPr>
                <w:rFonts w:ascii="Cambria" w:hAnsi="Cambria"/>
                <w:b w:val="false"/>
                <w:color w:val="58400C"/>
                <w:sz w:val="24"/>
              </w:rPr>
              <w:t>Populație deservita prin proiect ≤ 1.000 locuitori</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informatiile din SF/DALI/PT/MJ/CFSe consideră numărul total de locuitori ai comunei / orașului, tabelului privind numarul total al populației comunei este conform rezultatul final al recensământului populației locuințelor din anul 2021(https://www.recensamantromania.ro/rezultate- rpl-2021/rezultate-definitive/)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Solicitanții care nu au primit anterior sprijin comunitar pentru o investiție similară;</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Solicitanții care nu au primit anterior sprijin comunitar pentru o investiție similară;</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sectiunea C-FINANŢĂRI NERAMBURSABILE OBȚINUTE SAU SOLICITATE din Cererea de Finantare.Dacă din analiza documentelor depuse cerinte̦le sunt indeplinite, se va acorda punctaj pentru acest criteriu.</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Solicitanții care au primit anterior sprijin comunitar pentru o investiție similară;</w:t>
            </w:r>
          </w:p>
        </w:tc>
        <w:tc>
          <w:tcPr>
            <w:vAlign w:val="center"/>
          </w:tcPr>
          <w:p>
            <w:pPr>
              <w:keepNext/>
              <w:jc w:val="center"/>
            </w:pPr>
            <w:r>
              <w:rPr>
                <w:rFonts w:ascii="Cambria" w:hAnsi="Cambria"/>
                <w:b w:val="false"/>
                <w:sz w:val="24"/>
              </w:rPr>
              <w:t>0</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verifica sectiunea C-FINANŢĂRI NERAMBURSABILE OBȚINUTE SAU SOLICITATE din Cererea de Finantare.Dacă din analiza documentelor depuse cerinte̦le nu sunt indeplinite, nu se va acorda punctaj pentru acest criteriu.</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Proiecte ale caror operatiuni sunt inovatoare in context local;</w:t>
            </w:r>
          </w:p>
        </w:tc>
        <w:tc>
          <w:tcPr>
            <w:shd w:val="clear" w:color="auto" w:fill="CCE1DB"/>
            <w:vAlign w:val="center"/>
          </w:tcPr>
          <w:p>
            <w:pPr>
              <w:spacing w:line="360" w:lineRule="auto"/>
              <w:ind w:left="0" w:right="0" w:firstLine="493"/>
            </w:pPr>
            <w:r>
              <w:rPr>
                <w:rFonts w:ascii="Cambria Bold" w:hAnsi="Cambria Bold"/>
                <w:b/>
                <w:color w:val="014935"/>
                <w:sz w:val="24"/>
              </w:rPr>
              <w:t>40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 ale caror operatiuni sunt inovatoare in context local;</w:t>
            </w:r>
          </w:p>
        </w:tc>
        <w:tc>
          <w:tcPr>
            <w:vAlign w:val="center"/>
          </w:tcPr>
          <w:p>
            <w:pPr>
              <w:keepNext/>
              <w:jc w:val="center"/>
            </w:pPr>
            <w:r>
              <w:rPr>
                <w:rFonts w:ascii="Cambria" w:hAnsi="Cambria"/>
                <w:b w:val="false"/>
                <w:sz w:val="24"/>
              </w:rPr>
              <w:t>40</w:t>
            </w:r>
          </w:p>
        </w:tc>
        <w:tc>
          <w:tcPr>
            <w:vAlign w:val="center"/>
          </w:tcPr>
          <w:p/>
        </w:tc>
        <w:tc>
          <w:tcPr>
            <w:vAlign w:val="center"/>
          </w:tcPr>
          <w:p/>
        </w:tc>
      </w:tr>
      <w:tr>
        <w:trPr/>
        <w:tc>
          <w:tcPr>
            <w:gridSpan w:val="5"/>
            <w:shd w:val="clear" w:color="auto" w:fill="DDDDDD"/>
            <w:vAlign w:val="center"/>
          </w:tcPr>
          <w:p>
            <w:r>
              <w:rPr>
                <w:rFonts w:ascii="Cambria" w:hAnsi="Cambria"/>
                <w:b w:val="false"/>
                <w:sz w:val="24"/>
              </w:rPr>
              <w:t>Nu trebuie neapărat să fie o inovație la nivel național, ci ceva nou sau semnificativ diferit pentru teritoriul acoperit de GAL Drumul Vinului. ex. servicii care nu există în comunitate, tehnologii digitale aplicate local, etc.).Justificarea utilitatii și impactului inovator în termeni clari: eficiență, rezolvarea unei nevoi locale se va descrie înSF/DALI/PT/MJ/CF.Dacă din analiza documentelor depuse cerinte̦le sunt indeplinite, se va acorda punctaj pentru acest criteriu.</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3.2</w:t>
            </w:r>
          </w:p>
        </w:tc>
        <w:tc>
          <w:tcPr>
            <w:shd w:val="clear" w:color="auto" w:fill="F8ECD2"/>
            <w:vAlign w:val="center"/>
          </w:tcPr>
          <w:p>
            <w:r>
              <w:rPr>
                <w:rFonts w:ascii="Cambria" w:hAnsi="Cambria"/>
                <w:b w:val="false"/>
                <w:color w:val="58400C"/>
                <w:sz w:val="24"/>
              </w:rPr>
              <w:t>Proiecte ale caror operatiuni nu sunt inovatoare in context local;</w:t>
            </w:r>
          </w:p>
        </w:tc>
        <w:tc>
          <w:tcPr>
            <w:vAlign w:val="center"/>
          </w:tcPr>
          <w:p>
            <w:pPr>
              <w:keepNext/>
              <w:jc w:val="center"/>
            </w:pPr>
            <w:r>
              <w:rPr>
                <w:rFonts w:ascii="Cambria" w:hAnsi="Cambria"/>
                <w:b w:val="false"/>
                <w:sz w:val="24"/>
              </w:rPr>
              <w:t>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Nu trebuie neapărat să fie o inovație la nivel național, ci ceva nou sau semnificativ diferit pentru teritoriul acoperit de GAL Drumul Vinului. ex. servicii care nu există în comunitate, tehnologii digitale aplicate local, etc.).Justificarea utilitatii și impactului inovator în termeni clari: eficiență, rezolvarea unei nevoi locale se va descrie înSF/DALI/PT/MJ/CFDacă din analiza documentelor depuse cerinte̦le nu sunt indeplinite, nu se va acorda punctaj pentru acest criteriu.</w:t>
            </w:r>
          </w:p>
          <w:p>
            <w:pPr>
              <w:spacing w:line="360" w:lineRule="auto"/>
              <w:ind w:left="0" w:right="0" w:firstLine="493"/>
            </w:pPr>
            <w:r>
              <w:rPr>
                <w:rFonts w:ascii="Cambria Bold" w:hAnsi="Cambria Bold"/>
                <w:b/>
                <w:sz w:val="24"/>
              </w:rPr>
              <w:t>Nota !! Punctajul minim este de 15 puncte!</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Valoarea sprijinului nerambursabil</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proiectelor cu același punctaj, departajarea acestora se va face în ordinea descrescatoare a valorii sprijinului nerambursabil asumat atat in Cererea de Finantare cat si in SF/DALI/PT/MJ.Se verifica Cererea de Finantare si SF/DALI/PT/MJ.</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Durata de implementare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criteriuluiCD1 aceasta se va efectua in functie de durata de implementare a proiectului.Se va prioritiza proiectul care are o durată mai scurtă de implementare.Se verifica informatiile din SF/DALI/PT/MJ/CF care fac referire la acestcriteriu.</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Gradul de acoperire a populațieideservite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se poate realiza pe baza criteriilor CD1 și CD2, va avea prioritate proiectul care deservește un număr mai mare de persoane din teritoriul GAL.Se verifica informatiile din SF/DALI/PT/MJ/CF care fac referire la acestcriteriu.</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2bfa97fed5840b2" /></Relationships>
</file>